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6A" w:rsidRPr="00AA4659" w:rsidRDefault="003F2E6A" w:rsidP="003F2E6A">
      <w:pPr>
        <w:rPr>
          <w:rFonts w:eastAsia="黑体"/>
          <w:bCs/>
        </w:rPr>
      </w:pPr>
      <w:r w:rsidRPr="00AA4659">
        <w:rPr>
          <w:rFonts w:eastAsia="黑体" w:hint="eastAsia"/>
          <w:bCs/>
        </w:rPr>
        <w:t>附件</w:t>
      </w:r>
    </w:p>
    <w:p w:rsidR="003F2E6A" w:rsidRDefault="003F2E6A" w:rsidP="003F2E6A">
      <w:pPr>
        <w:adjustRightInd w:val="0"/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知识产权领域省以下财政事权和支出</w:t>
      </w:r>
    </w:p>
    <w:p w:rsidR="003F2E6A" w:rsidRPr="00AA4659" w:rsidRDefault="003F2E6A" w:rsidP="007E4B9E">
      <w:pPr>
        <w:adjustRightInd w:val="0"/>
        <w:snapToGrid w:val="0"/>
        <w:spacing w:afterLines="50"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责任划分情况表</w:t>
      </w:r>
    </w:p>
    <w:tbl>
      <w:tblPr>
        <w:tblStyle w:val="a3"/>
        <w:tblW w:w="9809" w:type="dxa"/>
        <w:tblLayout w:type="fixed"/>
        <w:tblLook w:val="04A0"/>
      </w:tblPr>
      <w:tblGrid>
        <w:gridCol w:w="885"/>
        <w:gridCol w:w="1099"/>
        <w:gridCol w:w="5921"/>
        <w:gridCol w:w="1904"/>
      </w:tblGrid>
      <w:tr w:rsidR="003F2E6A" w:rsidTr="002C2607">
        <w:trPr>
          <w:trHeight w:val="510"/>
          <w:tblHeader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jc w:val="center"/>
              <w:rPr>
                <w:rFonts w:eastAsia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jc w:val="center"/>
              <w:rPr>
                <w:rFonts w:eastAsia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</w:rPr>
              <w:t>事项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jc w:val="center"/>
              <w:rPr>
                <w:rFonts w:eastAsia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</w:rPr>
              <w:t>主要内容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jc w:val="center"/>
              <w:rPr>
                <w:rFonts w:eastAsia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</w:rPr>
              <w:t>支出责任</w:t>
            </w:r>
          </w:p>
        </w:tc>
      </w:tr>
      <w:tr w:rsidR="003F2E6A" w:rsidTr="002C2607"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jc w:val="left"/>
              <w:rPr>
                <w:rFonts w:eastAsia="宋体"/>
                <w:kern w:val="2"/>
                <w:sz w:val="32"/>
                <w:szCs w:val="32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</w:rPr>
              <w:t>一、省级财政事权</w:t>
            </w:r>
          </w:p>
        </w:tc>
      </w:tr>
      <w:tr w:rsidR="003F2E6A" w:rsidTr="005737EB">
        <w:trPr>
          <w:trHeight w:val="92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（一）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知识产权宏观管理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制定实施省级知识产权战略、规划、政策，制定知识产权领域省级法规、规章等，知识产权强省建设监测评估，省级知识产权统计调查分析发布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省级承担支出责任</w:t>
            </w:r>
          </w:p>
        </w:tc>
      </w:tr>
      <w:tr w:rsidR="003F2E6A" w:rsidTr="005737EB">
        <w:trPr>
          <w:trHeight w:val="7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（二）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知识产权授权确权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省级知识产权保护中心建设及快速预审、快速确权等相关事项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省级承担支出责任</w:t>
            </w:r>
          </w:p>
        </w:tc>
      </w:tr>
      <w:tr w:rsidR="003F2E6A" w:rsidTr="002C2607">
        <w:trPr>
          <w:trHeight w:val="17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（三）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 w:rsidP="00CE741D">
            <w:pPr>
              <w:adjustRightInd w:val="0"/>
              <w:snapToGrid w:val="0"/>
              <w:spacing w:line="360" w:lineRule="exact"/>
              <w:rPr>
                <w:rFonts w:eastAsia="楷体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知识产权运用促进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根据省委、省政府工作部署，结合我省实际自主设计的知识产权转移转化促进专项行动（项目、资金等），省政府设立的黑龙江省专利奖，省级知识产权优势企业培育工作，省级企业高价值发明专利培育中心认定工作，专利代理机构监管，承办本行政区域内专利代理师资格考试考务工作，向国外申请植物新品种权登记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省级承担支出责任</w:t>
            </w:r>
          </w:p>
        </w:tc>
      </w:tr>
      <w:tr w:rsidR="003F2E6A" w:rsidTr="005737EB">
        <w:trPr>
          <w:trHeight w:val="175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（四）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知识产权保护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 w:rsidP="002C2607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省级知识产权保护体系建设</w:t>
            </w:r>
            <w:r w:rsidR="002C2607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省级涉外知识产权纠纷应对机制建设，针对全省开展的知识产权保护状况评价和绩效监督考核，省级知识产权执法、快速协同保护、维权援助，省级知识产权侵权纠纷的行政裁决和行政调解，省级软件正版化工作组织推进，限制类技术出口中涉及专利权、集成电路布图设计专有权、计算机软件著作权的对外转让审查，处理植物新品种侵权案件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省级承担支出责任</w:t>
            </w:r>
          </w:p>
        </w:tc>
      </w:tr>
      <w:tr w:rsidR="003F2E6A" w:rsidTr="002C2607">
        <w:trPr>
          <w:trHeight w:val="96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（五）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知识产权公共服务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省级知识产权公共服务体系建设，推动知识产权信息在省内的传播利用和融合应用，省级知识产权信息化、智能化基础设施建设和网络安全防护，省级知识产权风险预测预警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省级承担支出责任</w:t>
            </w:r>
          </w:p>
        </w:tc>
      </w:tr>
      <w:tr w:rsidR="003F2E6A" w:rsidTr="002C2607">
        <w:trPr>
          <w:trHeight w:val="62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（六）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知识产权涉外工作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省级与外国地方政府和地方组织开展知识产权合作交流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省级承担支出责任</w:t>
            </w:r>
          </w:p>
        </w:tc>
      </w:tr>
      <w:tr w:rsidR="003F2E6A" w:rsidTr="002C2607"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jc w:val="left"/>
              <w:rPr>
                <w:rFonts w:eastAsia="宋体"/>
                <w:kern w:val="2"/>
                <w:sz w:val="32"/>
                <w:szCs w:val="32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</w:rPr>
              <w:t>二、省与市县共同财政事权</w:t>
            </w:r>
          </w:p>
        </w:tc>
      </w:tr>
      <w:tr w:rsidR="003F2E6A" w:rsidTr="002C2607">
        <w:trPr>
          <w:trHeight w:val="60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（一）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知识产权授权确权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 w:rsidP="00E200FF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国内作者或其他著作权人作品的登记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省与市县分别承担支出责任</w:t>
            </w:r>
          </w:p>
        </w:tc>
      </w:tr>
      <w:tr w:rsidR="003F2E6A" w:rsidTr="005737EB">
        <w:trPr>
          <w:trHeight w:val="3034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（二）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知识产权运用促进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省知识产权转移转化促进和知识产权交易运营监督管理，地方性重大经济科技活动知识产权评议，结合我省重点产业发展开展专利导航，专利、商标领域地方标准，高校、科研院所高价值发明专利培育项目，园区中小微企业知识产权集中托管，高校、科研院所专利技术就地转化，支持中国专利奖获奖项目，支持知识产权运营机构建设，支持企业运用知识产权质押融资，支持专利密集型产品备案认定，支持企业通过</w:t>
            </w:r>
            <w:r>
              <w:rPr>
                <w:sz w:val="21"/>
                <w:szCs w:val="21"/>
              </w:rPr>
              <w:t>PCT</w:t>
            </w:r>
            <w:r w:rsidR="00E200FF">
              <w:rPr>
                <w:rFonts w:eastAsiaTheme="minorEastAsia" w:hint="eastAsia"/>
                <w:sz w:val="21"/>
                <w:szCs w:val="21"/>
              </w:rPr>
              <w:t>（《专利合作条约》规定的申请专利国际合作机制）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途径申请国外专利，支持专利代理机构发展，商标代理机构监管，出版外国图书合同登记、出版和复制境外电子出版物和计算机软件合同登记、复制境外音像制品委托合同登记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省与市县分别承担支出责任</w:t>
            </w:r>
          </w:p>
        </w:tc>
      </w:tr>
      <w:tr w:rsidR="003F2E6A" w:rsidTr="005737EB">
        <w:trPr>
          <w:trHeight w:val="603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widowControl/>
              <w:jc w:val="left"/>
              <w:rPr>
                <w:rFonts w:eastAsia="楷体_GB2312"/>
                <w:kern w:val="2"/>
                <w:sz w:val="32"/>
                <w:szCs w:val="32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widowControl/>
              <w:jc w:val="left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著作权许可和转让备案。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省与市县分别承担支出责任</w:t>
            </w:r>
          </w:p>
        </w:tc>
      </w:tr>
      <w:tr w:rsidR="003F2E6A" w:rsidTr="00837D44">
        <w:trPr>
          <w:trHeight w:val="7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lastRenderedPageBreak/>
              <w:t>（三）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知识产权保护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处理植物假冒授权品种案件，处理销售植物授权品种未使用其注册登记名称案件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省与市县分别承担支出责任</w:t>
            </w:r>
          </w:p>
        </w:tc>
      </w:tr>
      <w:tr w:rsidR="003F2E6A" w:rsidTr="00837D44">
        <w:trPr>
          <w:trHeight w:val="102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（四）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知识产权领域其他事项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知识产权人才队伍建设，知识产权宣传教育和普法，高等学校知识产权学科、学院、学位建设等事项，与港澳台开展知识产权合作交流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省与市县分别承担支出责任</w:t>
            </w:r>
          </w:p>
        </w:tc>
      </w:tr>
      <w:tr w:rsidR="003F2E6A" w:rsidTr="00837D44">
        <w:trPr>
          <w:trHeight w:val="397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left"/>
              <w:rPr>
                <w:rFonts w:eastAsia="宋体"/>
                <w:kern w:val="2"/>
                <w:sz w:val="32"/>
                <w:szCs w:val="32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</w:rPr>
              <w:t>三、市（地）财政事权</w:t>
            </w:r>
          </w:p>
        </w:tc>
      </w:tr>
      <w:tr w:rsidR="003F2E6A" w:rsidTr="00837D44">
        <w:trPr>
          <w:trHeight w:val="7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（一）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left"/>
              <w:rPr>
                <w:rFonts w:eastAsia="楷体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知识产权保护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自由类技术出口中涉及专利权、集成电路布图设计专有权、计算机软件著作权的对外转让审查。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市（地）承担支出责任</w:t>
            </w:r>
          </w:p>
        </w:tc>
      </w:tr>
      <w:tr w:rsidR="003F2E6A" w:rsidTr="00837D44">
        <w:trPr>
          <w:trHeight w:val="397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left"/>
              <w:rPr>
                <w:rFonts w:eastAsia="宋体"/>
                <w:kern w:val="2"/>
                <w:sz w:val="32"/>
                <w:szCs w:val="32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</w:rPr>
              <w:t>四、市县财政事权</w:t>
            </w:r>
          </w:p>
        </w:tc>
      </w:tr>
      <w:tr w:rsidR="003F2E6A" w:rsidTr="00837D44">
        <w:trPr>
          <w:trHeight w:val="102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（一）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知识产权宏观管理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制定实施市县知识产权战略、规划、政策，制定知识产权领域市县级法规、规章等，知识产权强市（县）建设监测评估，市县级知识产权统计调查分析发布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left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市县承担支出责任</w:t>
            </w:r>
          </w:p>
        </w:tc>
      </w:tr>
      <w:tr w:rsidR="003F2E6A" w:rsidTr="00837D44">
        <w:trPr>
          <w:trHeight w:val="7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（二）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知识产权授权确权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市县级知识产权保护中心建设及快速预审、快速确权等相关事项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left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市县承担支出责任</w:t>
            </w:r>
          </w:p>
        </w:tc>
      </w:tr>
      <w:tr w:rsidR="003F2E6A" w:rsidTr="002C2607">
        <w:trPr>
          <w:trHeight w:val="135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（三）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知识产权运用促进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各市县根据相关规划等自主设立的知识产权转移转化促进专项行动（项目、资金等），市县自主设立的专利奖项，市县级知识产权优势企业培育工作，市县级企业高价值发明专利培育中心认定工作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left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市县承担支出责任</w:t>
            </w:r>
          </w:p>
        </w:tc>
      </w:tr>
      <w:tr w:rsidR="003F2E6A" w:rsidTr="00837D44">
        <w:trPr>
          <w:trHeight w:val="136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楷体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（四）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知识产权保护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县知识产权保护体系建设，市县涉外知识产权纠纷应对机制建设，针对市县开展的绩效监督考核，市县知识产权执法、快速协同保护、维权援助，市县知识产权侵权纠纷的行政裁决和行政调解，市县软件正版化工作组织推进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left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市县承担支出责任</w:t>
            </w:r>
          </w:p>
        </w:tc>
      </w:tr>
      <w:tr w:rsidR="003F2E6A" w:rsidTr="00837D44">
        <w:trPr>
          <w:trHeight w:val="107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楷体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（五）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知识产权公共服务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pStyle w:val="1"/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</w:rPr>
              <w:t>市县级知识产权公共服务体系建设，推动知识产权信息在市县的传播利用和融合应用，市县知识产权信息化、智能化特色版块开发和网络安全防护，市县知识产权风险预测预警。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left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市县承担支出责任</w:t>
            </w:r>
          </w:p>
        </w:tc>
      </w:tr>
      <w:tr w:rsidR="003F2E6A" w:rsidTr="00837D44">
        <w:trPr>
          <w:trHeight w:val="79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楷体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（六）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楷体_GB2312" w:hint="eastAsia"/>
                <w:sz w:val="21"/>
                <w:szCs w:val="21"/>
              </w:rPr>
              <w:t>知识产权涉外工作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pStyle w:val="1"/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</w:rPr>
              <w:t>市县与外国地方政府和地方组织开展知识产权合作交流。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left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市县承担支出责任</w:t>
            </w:r>
          </w:p>
        </w:tc>
      </w:tr>
      <w:tr w:rsidR="003F2E6A" w:rsidTr="00837D44">
        <w:trPr>
          <w:trHeight w:val="567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6A" w:rsidRDefault="003F2E6A">
            <w:pPr>
              <w:adjustRightInd w:val="0"/>
              <w:snapToGrid w:val="0"/>
              <w:jc w:val="left"/>
              <w:rPr>
                <w:rFonts w:eastAsia="宋体"/>
                <w:kern w:val="2"/>
                <w:sz w:val="32"/>
                <w:szCs w:val="32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</w:rPr>
              <w:t>知识产权领域其他未列事项，按照改革的总体要求和事项特点具体确定财政事权和支出责任。</w:t>
            </w:r>
          </w:p>
        </w:tc>
      </w:tr>
    </w:tbl>
    <w:p w:rsidR="003F2E6A" w:rsidRDefault="003F2E6A" w:rsidP="003F2E6A"/>
    <w:p w:rsidR="00C3379F" w:rsidRPr="003F2E6A" w:rsidRDefault="00C3379F"/>
    <w:sectPr w:rsidR="00C3379F" w:rsidRPr="003F2E6A" w:rsidSect="007E4B9E">
      <w:pgSz w:w="11906" w:h="16838" w:code="9"/>
      <w:pgMar w:top="1134" w:right="1191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FBF" w:rsidRDefault="00BD4FBF" w:rsidP="00AA4659">
      <w:r>
        <w:separator/>
      </w:r>
    </w:p>
  </w:endnote>
  <w:endnote w:type="continuationSeparator" w:id="1">
    <w:p w:rsidR="00BD4FBF" w:rsidRDefault="00BD4FBF" w:rsidP="00AA4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FBF" w:rsidRDefault="00BD4FBF" w:rsidP="00AA4659">
      <w:r>
        <w:separator/>
      </w:r>
    </w:p>
  </w:footnote>
  <w:footnote w:type="continuationSeparator" w:id="1">
    <w:p w:rsidR="00BD4FBF" w:rsidRDefault="00BD4FBF" w:rsidP="00AA4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E6A"/>
    <w:rsid w:val="002C2607"/>
    <w:rsid w:val="00345D8E"/>
    <w:rsid w:val="0037785E"/>
    <w:rsid w:val="003F2E6A"/>
    <w:rsid w:val="0040729D"/>
    <w:rsid w:val="00494CFD"/>
    <w:rsid w:val="005737EB"/>
    <w:rsid w:val="0068724D"/>
    <w:rsid w:val="006E6A1E"/>
    <w:rsid w:val="006F70E8"/>
    <w:rsid w:val="007046CA"/>
    <w:rsid w:val="007A31C4"/>
    <w:rsid w:val="007E4B9E"/>
    <w:rsid w:val="008370BD"/>
    <w:rsid w:val="00837D44"/>
    <w:rsid w:val="00967574"/>
    <w:rsid w:val="0099178A"/>
    <w:rsid w:val="009C72E5"/>
    <w:rsid w:val="00A000E4"/>
    <w:rsid w:val="00AA4659"/>
    <w:rsid w:val="00AE08CB"/>
    <w:rsid w:val="00BD4FBF"/>
    <w:rsid w:val="00C202BE"/>
    <w:rsid w:val="00C3379F"/>
    <w:rsid w:val="00CE741D"/>
    <w:rsid w:val="00E200FF"/>
    <w:rsid w:val="00E7433E"/>
    <w:rsid w:val="00F22719"/>
    <w:rsid w:val="00F8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6A"/>
    <w:pPr>
      <w:widowControl w:val="0"/>
      <w:jc w:val="both"/>
    </w:pPr>
    <w:rPr>
      <w:rFonts w:asci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qFormat/>
    <w:rsid w:val="003F2E6A"/>
    <w:pPr>
      <w:widowControl/>
    </w:pPr>
    <w:rPr>
      <w:rFonts w:ascii="Calibri" w:eastAsia="宋体" w:hAnsi="Calibri" w:cs="Calibri"/>
      <w:sz w:val="21"/>
      <w:szCs w:val="21"/>
    </w:rPr>
  </w:style>
  <w:style w:type="table" w:styleId="a3">
    <w:name w:val="Table Grid"/>
    <w:basedOn w:val="a1"/>
    <w:uiPriority w:val="99"/>
    <w:qFormat/>
    <w:rsid w:val="003F2E6A"/>
    <w:pPr>
      <w:widowControl w:val="0"/>
      <w:jc w:val="both"/>
    </w:pPr>
    <w:rPr>
      <w:rFonts w:ascii="Times New Roman"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A4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4659"/>
    <w:rPr>
      <w:rFonts w:asci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4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4659"/>
    <w:rPr>
      <w:rFonts w:asci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285</Words>
  <Characters>1630</Characters>
  <Application>Microsoft Office Word</Application>
  <DocSecurity>0</DocSecurity>
  <Lines>13</Lines>
  <Paragraphs>3</Paragraphs>
  <ScaleCrop>false</ScaleCrop>
  <Company>China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11</cp:revision>
  <cp:lastPrinted>2024-02-06T13:55:00Z</cp:lastPrinted>
  <dcterms:created xsi:type="dcterms:W3CDTF">2024-02-05T09:01:00Z</dcterms:created>
  <dcterms:modified xsi:type="dcterms:W3CDTF">2024-02-06T13:56:00Z</dcterms:modified>
</cp:coreProperties>
</file>